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F3" w:rsidRDefault="002102F3" w:rsidP="002102F3">
      <w:pPr>
        <w:rPr>
          <w:rFonts w:ascii="Georgia" w:hAnsi="Georgia"/>
          <w:sz w:val="22"/>
          <w:szCs w:val="22"/>
        </w:rPr>
      </w:pPr>
      <w:r>
        <w:rPr>
          <w:rFonts w:ascii="Georgia" w:hAnsi="Georgia"/>
          <w:sz w:val="22"/>
          <w:szCs w:val="22"/>
        </w:rPr>
        <w:fldChar w:fldCharType="begin"/>
      </w:r>
      <w:r>
        <w:rPr>
          <w:rFonts w:ascii="Georgia" w:hAnsi="Georgia"/>
          <w:sz w:val="22"/>
          <w:szCs w:val="22"/>
        </w:rPr>
        <w:instrText xml:space="preserve"> HYPERLINK "http://www.kitsappublichealth.org/ContactManager/emailDisplay/emailDisplay.aspx?ID=1357" </w:instrText>
      </w:r>
      <w:r>
        <w:rPr>
          <w:rFonts w:ascii="Georgia" w:hAnsi="Georgia"/>
          <w:sz w:val="22"/>
          <w:szCs w:val="22"/>
        </w:rPr>
        <w:fldChar w:fldCharType="separate"/>
      </w:r>
      <w:r>
        <w:rPr>
          <w:rStyle w:val="Hyperlink"/>
          <w:rFonts w:ascii="Georgia" w:hAnsi="Georgia"/>
          <w:sz w:val="14"/>
          <w:szCs w:val="14"/>
        </w:rPr>
        <w:t>View as a webpage</w:t>
      </w:r>
      <w:r>
        <w:rPr>
          <w:rFonts w:ascii="Georgia" w:hAnsi="Georgia"/>
          <w:sz w:val="22"/>
          <w:szCs w:val="22"/>
        </w:rPr>
        <w:fldChar w:fldCharType="end"/>
      </w:r>
      <w:r>
        <w:rPr>
          <w:rFonts w:ascii="Georgia" w:hAnsi="Georgia"/>
          <w:sz w:val="22"/>
          <w:szCs w:val="22"/>
        </w:rPr>
        <w:t xml:space="preserve"> </w:t>
      </w:r>
    </w:p>
    <w:tbl>
      <w:tblPr>
        <w:tblW w:w="10125" w:type="dxa"/>
        <w:tblCellSpacing w:w="15" w:type="dxa"/>
        <w:tblCellMar>
          <w:left w:w="0" w:type="dxa"/>
          <w:right w:w="0" w:type="dxa"/>
        </w:tblCellMar>
        <w:tblLook w:val="04A0" w:firstRow="1" w:lastRow="0" w:firstColumn="1" w:lastColumn="0" w:noHBand="0" w:noVBand="1"/>
      </w:tblPr>
      <w:tblGrid>
        <w:gridCol w:w="5900"/>
        <w:gridCol w:w="4225"/>
      </w:tblGrid>
      <w:tr w:rsidR="002102F3" w:rsidTr="002102F3">
        <w:trPr>
          <w:trHeight w:val="1050"/>
          <w:tblCellSpacing w:w="15" w:type="dxa"/>
        </w:trPr>
        <w:tc>
          <w:tcPr>
            <w:tcW w:w="5940" w:type="dxa"/>
            <w:shd w:val="clear" w:color="auto" w:fill="004A61"/>
            <w:hideMark/>
          </w:tcPr>
          <w:p w:rsidR="002102F3" w:rsidRDefault="002102F3">
            <w:pPr>
              <w:jc w:val="center"/>
              <w:rPr>
                <w:rFonts w:ascii="Georgia" w:hAnsi="Georgia"/>
                <w:sz w:val="22"/>
                <w:szCs w:val="22"/>
              </w:rPr>
            </w:pPr>
            <w:r>
              <w:rPr>
                <w:rFonts w:ascii="Calibri" w:hAnsi="Calibri"/>
                <w:b/>
                <w:bCs/>
                <w:color w:val="FFFFFF"/>
                <w:sz w:val="70"/>
                <w:szCs w:val="70"/>
              </w:rPr>
              <w:t xml:space="preserve">HEALTH ADVISORY </w:t>
            </w:r>
          </w:p>
        </w:tc>
        <w:tc>
          <w:tcPr>
            <w:tcW w:w="3000" w:type="dxa"/>
            <w:vAlign w:val="center"/>
            <w:hideMark/>
          </w:tcPr>
          <w:p w:rsidR="002102F3" w:rsidRDefault="002102F3">
            <w:pPr>
              <w:rPr>
                <w:rFonts w:ascii="Georgia" w:hAnsi="Georgia"/>
                <w:sz w:val="22"/>
                <w:szCs w:val="22"/>
              </w:rPr>
            </w:pPr>
            <w:r>
              <w:rPr>
                <w:rFonts w:ascii="Georgia" w:hAnsi="Georgia"/>
                <w:noProof/>
                <w:sz w:val="22"/>
                <w:szCs w:val="22"/>
                <w:bdr w:val="single" w:sz="8" w:space="0" w:color="auto" w:frame="1"/>
              </w:rPr>
              <w:drawing>
                <wp:inline distT="0" distB="0" distL="0" distR="0">
                  <wp:extent cx="2619375" cy="666750"/>
                  <wp:effectExtent l="0" t="0" r="9525" b="0"/>
                  <wp:docPr id="1" name="Picture 1" descr="Image removed by sender. KP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KPH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19375" cy="666750"/>
                          </a:xfrm>
                          <a:prstGeom prst="rect">
                            <a:avLst/>
                          </a:prstGeom>
                          <a:noFill/>
                          <a:ln>
                            <a:noFill/>
                          </a:ln>
                        </pic:spPr>
                      </pic:pic>
                    </a:graphicData>
                  </a:graphic>
                </wp:inline>
              </w:drawing>
            </w:r>
          </w:p>
        </w:tc>
      </w:tr>
      <w:tr w:rsidR="002102F3" w:rsidTr="002102F3">
        <w:trPr>
          <w:trHeight w:val="360"/>
          <w:tblCellSpacing w:w="15" w:type="dxa"/>
        </w:trPr>
        <w:tc>
          <w:tcPr>
            <w:tcW w:w="0" w:type="auto"/>
            <w:vAlign w:val="center"/>
            <w:hideMark/>
          </w:tcPr>
          <w:p w:rsidR="002102F3" w:rsidRDefault="002102F3">
            <w:pPr>
              <w:rPr>
                <w:rFonts w:ascii="Georgia" w:hAnsi="Georgia"/>
                <w:sz w:val="22"/>
                <w:szCs w:val="22"/>
              </w:rPr>
            </w:pPr>
            <w:r>
              <w:rPr>
                <w:rFonts w:ascii="Calibri" w:hAnsi="Calibri"/>
              </w:rPr>
              <w:t xml:space="preserve">January 4, 2017 </w:t>
            </w:r>
          </w:p>
        </w:tc>
        <w:tc>
          <w:tcPr>
            <w:tcW w:w="0" w:type="auto"/>
            <w:vAlign w:val="center"/>
            <w:hideMark/>
          </w:tcPr>
          <w:p w:rsidR="002102F3" w:rsidRDefault="002102F3">
            <w:pPr>
              <w:rPr>
                <w:rFonts w:ascii="Georgia" w:hAnsi="Georgia"/>
                <w:sz w:val="22"/>
                <w:szCs w:val="22"/>
              </w:rPr>
            </w:pPr>
          </w:p>
        </w:tc>
      </w:tr>
    </w:tbl>
    <w:p w:rsidR="002102F3" w:rsidRDefault="002102F3" w:rsidP="002102F3">
      <w:pPr>
        <w:pStyle w:val="NormalWeb"/>
        <w:rPr>
          <w:rFonts w:ascii="Georgia" w:hAnsi="Georgia"/>
          <w:sz w:val="22"/>
          <w:szCs w:val="22"/>
        </w:rPr>
      </w:pPr>
      <w:r>
        <w:rPr>
          <w:rFonts w:ascii="Calibri" w:hAnsi="Calibri"/>
          <w:b/>
          <w:bCs/>
          <w:sz w:val="40"/>
          <w:szCs w:val="40"/>
        </w:rPr>
        <w:t>Upswing in local influenza activity</w:t>
      </w:r>
    </w:p>
    <w:p w:rsidR="002102F3" w:rsidRDefault="002102F3" w:rsidP="002102F3">
      <w:pPr>
        <w:pStyle w:val="NormalWeb"/>
        <w:rPr>
          <w:rFonts w:ascii="Calibri" w:hAnsi="Calibri"/>
          <w:sz w:val="28"/>
          <w:szCs w:val="28"/>
        </w:rPr>
      </w:pPr>
      <w:r>
        <w:rPr>
          <w:rFonts w:ascii="Calibri" w:hAnsi="Calibri"/>
          <w:b/>
          <w:bCs/>
          <w:sz w:val="28"/>
          <w:szCs w:val="28"/>
        </w:rPr>
        <w:t>Actions Requested</w:t>
      </w:r>
    </w:p>
    <w:p w:rsidR="002102F3" w:rsidRDefault="002102F3" w:rsidP="002102F3">
      <w:pPr>
        <w:pStyle w:val="NormalWeb"/>
        <w:numPr>
          <w:ilvl w:val="0"/>
          <w:numId w:val="1"/>
        </w:numPr>
        <w:rPr>
          <w:rFonts w:ascii="Georgia" w:hAnsi="Georgia"/>
          <w:sz w:val="22"/>
          <w:szCs w:val="22"/>
        </w:rPr>
      </w:pPr>
      <w:r>
        <w:rPr>
          <w:rStyle w:val="Strong"/>
          <w:rFonts w:ascii="Georgia" w:hAnsi="Georgia"/>
          <w:sz w:val="22"/>
          <w:szCs w:val="22"/>
        </w:rPr>
        <w:t>Be aware that influenza activity is on the rise in our community.</w:t>
      </w:r>
      <w:r>
        <w:rPr>
          <w:rFonts w:ascii="Georgia" w:hAnsi="Georgia"/>
          <w:sz w:val="22"/>
          <w:szCs w:val="22"/>
        </w:rPr>
        <w:t xml:space="preserve"> In fact, both Kitsap County and statewide surveillance data show increases in laboratory positive tests, influenza-like-illness visits, and other measures.</w:t>
      </w:r>
    </w:p>
    <w:p w:rsidR="002102F3" w:rsidRDefault="002102F3" w:rsidP="002102F3">
      <w:pPr>
        <w:pStyle w:val="NormalWeb"/>
        <w:numPr>
          <w:ilvl w:val="0"/>
          <w:numId w:val="1"/>
        </w:numPr>
        <w:rPr>
          <w:rFonts w:ascii="Georgia" w:hAnsi="Georgia"/>
          <w:sz w:val="22"/>
          <w:szCs w:val="22"/>
        </w:rPr>
      </w:pPr>
      <w:r>
        <w:rPr>
          <w:rStyle w:val="Strong"/>
          <w:rFonts w:ascii="Georgia" w:hAnsi="Georgia"/>
          <w:sz w:val="22"/>
          <w:szCs w:val="22"/>
        </w:rPr>
        <w:t xml:space="preserve">Offer influenza vaccine to your patients, especially those who are at high risk. </w:t>
      </w:r>
      <w:r>
        <w:rPr>
          <w:rFonts w:ascii="Georgia" w:hAnsi="Georgia"/>
          <w:sz w:val="22"/>
          <w:szCs w:val="22"/>
        </w:rPr>
        <w:t>Annual influenza vaccine is recommended for all people ages six months and older who do not have contraindications.</w:t>
      </w:r>
    </w:p>
    <w:p w:rsidR="002102F3" w:rsidRDefault="002102F3" w:rsidP="002102F3">
      <w:pPr>
        <w:pStyle w:val="NormalWeb"/>
        <w:numPr>
          <w:ilvl w:val="0"/>
          <w:numId w:val="1"/>
        </w:numPr>
        <w:rPr>
          <w:rFonts w:ascii="Georgia" w:hAnsi="Georgia"/>
          <w:sz w:val="22"/>
          <w:szCs w:val="22"/>
        </w:rPr>
      </w:pPr>
      <w:r>
        <w:rPr>
          <w:rStyle w:val="Strong"/>
          <w:rFonts w:ascii="Georgia" w:hAnsi="Georgia"/>
          <w:sz w:val="22"/>
          <w:szCs w:val="22"/>
        </w:rPr>
        <w:t xml:space="preserve">Review the categories considered to be high risk for influenza complications: </w:t>
      </w:r>
    </w:p>
    <w:p w:rsidR="002102F3" w:rsidRDefault="002102F3" w:rsidP="002102F3">
      <w:pPr>
        <w:pStyle w:val="NormalWeb"/>
        <w:numPr>
          <w:ilvl w:val="1"/>
          <w:numId w:val="1"/>
        </w:numPr>
        <w:rPr>
          <w:rFonts w:ascii="Georgia" w:hAnsi="Georgia"/>
          <w:sz w:val="22"/>
          <w:szCs w:val="22"/>
        </w:rPr>
      </w:pPr>
      <w:r>
        <w:rPr>
          <w:rFonts w:ascii="Georgia" w:hAnsi="Georgia"/>
          <w:sz w:val="22"/>
          <w:szCs w:val="22"/>
        </w:rPr>
        <w:t xml:space="preserve">Children younger than 5, but especially children younger than 2 </w:t>
      </w:r>
      <w:proofErr w:type="gramStart"/>
      <w:r>
        <w:rPr>
          <w:rFonts w:ascii="Georgia" w:hAnsi="Georgia"/>
          <w:sz w:val="22"/>
          <w:szCs w:val="22"/>
        </w:rPr>
        <w:t>years</w:t>
      </w:r>
      <w:proofErr w:type="gramEnd"/>
      <w:r>
        <w:rPr>
          <w:rFonts w:ascii="Georgia" w:hAnsi="Georgia"/>
          <w:sz w:val="22"/>
          <w:szCs w:val="22"/>
        </w:rPr>
        <w:t xml:space="preserve"> old</w:t>
      </w:r>
    </w:p>
    <w:p w:rsidR="002102F3" w:rsidRDefault="002102F3" w:rsidP="002102F3">
      <w:pPr>
        <w:pStyle w:val="NormalWeb"/>
        <w:numPr>
          <w:ilvl w:val="1"/>
          <w:numId w:val="1"/>
        </w:numPr>
        <w:rPr>
          <w:rFonts w:ascii="Georgia" w:hAnsi="Georgia"/>
          <w:sz w:val="22"/>
          <w:szCs w:val="22"/>
        </w:rPr>
      </w:pPr>
      <w:r>
        <w:rPr>
          <w:rFonts w:ascii="Georgia" w:hAnsi="Georgia"/>
          <w:sz w:val="22"/>
          <w:szCs w:val="22"/>
        </w:rPr>
        <w:t>Adults 65 years of age and older</w:t>
      </w:r>
    </w:p>
    <w:p w:rsidR="002102F3" w:rsidRDefault="002102F3" w:rsidP="002102F3">
      <w:pPr>
        <w:pStyle w:val="NormalWeb"/>
        <w:numPr>
          <w:ilvl w:val="1"/>
          <w:numId w:val="1"/>
        </w:numPr>
        <w:rPr>
          <w:rFonts w:ascii="Georgia" w:hAnsi="Georgia"/>
          <w:sz w:val="22"/>
          <w:szCs w:val="22"/>
        </w:rPr>
      </w:pPr>
      <w:r>
        <w:rPr>
          <w:rFonts w:ascii="Georgia" w:hAnsi="Georgia"/>
          <w:sz w:val="22"/>
          <w:szCs w:val="22"/>
        </w:rPr>
        <w:t xml:space="preserve">Pregnant women and women up to two </w:t>
      </w:r>
      <w:proofErr w:type="gramStart"/>
      <w:r>
        <w:rPr>
          <w:rFonts w:ascii="Georgia" w:hAnsi="Georgia"/>
          <w:sz w:val="22"/>
          <w:szCs w:val="22"/>
        </w:rPr>
        <w:t>weeks</w:t>
      </w:r>
      <w:proofErr w:type="gramEnd"/>
      <w:r>
        <w:rPr>
          <w:rFonts w:ascii="Georgia" w:hAnsi="Georgia"/>
          <w:sz w:val="22"/>
          <w:szCs w:val="22"/>
        </w:rPr>
        <w:t xml:space="preserve"> post-partum</w:t>
      </w:r>
    </w:p>
    <w:p w:rsidR="002102F3" w:rsidRDefault="002102F3" w:rsidP="002102F3">
      <w:pPr>
        <w:pStyle w:val="NormalWeb"/>
        <w:numPr>
          <w:ilvl w:val="1"/>
          <w:numId w:val="1"/>
        </w:numPr>
        <w:rPr>
          <w:rFonts w:ascii="Georgia" w:hAnsi="Georgia"/>
          <w:sz w:val="22"/>
          <w:szCs w:val="22"/>
        </w:rPr>
      </w:pPr>
      <w:r>
        <w:rPr>
          <w:rFonts w:ascii="Georgia" w:hAnsi="Georgia"/>
          <w:sz w:val="22"/>
          <w:szCs w:val="22"/>
        </w:rPr>
        <w:t>Residents of nursing homes and other long-term care facilities</w:t>
      </w:r>
    </w:p>
    <w:p w:rsidR="002102F3" w:rsidRDefault="002102F3" w:rsidP="002102F3">
      <w:pPr>
        <w:pStyle w:val="NormalWeb"/>
        <w:numPr>
          <w:ilvl w:val="1"/>
          <w:numId w:val="1"/>
        </w:numPr>
        <w:rPr>
          <w:rFonts w:ascii="Georgia" w:hAnsi="Georgia"/>
          <w:sz w:val="22"/>
          <w:szCs w:val="22"/>
        </w:rPr>
      </w:pPr>
      <w:r>
        <w:rPr>
          <w:rFonts w:ascii="Georgia" w:hAnsi="Georgia"/>
          <w:sz w:val="22"/>
          <w:szCs w:val="22"/>
        </w:rPr>
        <w:t>American Indians and Alaskan Natives</w:t>
      </w:r>
    </w:p>
    <w:p w:rsidR="002102F3" w:rsidRDefault="002102F3" w:rsidP="002102F3">
      <w:pPr>
        <w:pStyle w:val="NormalWeb"/>
        <w:numPr>
          <w:ilvl w:val="1"/>
          <w:numId w:val="1"/>
        </w:numPr>
        <w:rPr>
          <w:rFonts w:ascii="Georgia" w:hAnsi="Georgia"/>
          <w:sz w:val="22"/>
          <w:szCs w:val="22"/>
        </w:rPr>
      </w:pPr>
      <w:r>
        <w:rPr>
          <w:rFonts w:ascii="Georgia" w:hAnsi="Georgia"/>
          <w:sz w:val="22"/>
          <w:szCs w:val="22"/>
        </w:rPr>
        <w:t>People who have certain medical conditions. (</w:t>
      </w:r>
      <w:r>
        <w:rPr>
          <w:rStyle w:val="Emphasis"/>
          <w:rFonts w:ascii="Georgia" w:hAnsi="Georgia"/>
          <w:sz w:val="22"/>
          <w:szCs w:val="22"/>
        </w:rPr>
        <w:t>See CDC website).</w:t>
      </w:r>
    </w:p>
    <w:p w:rsidR="002102F3" w:rsidRDefault="002102F3" w:rsidP="002102F3">
      <w:pPr>
        <w:pStyle w:val="NormalWeb"/>
        <w:numPr>
          <w:ilvl w:val="0"/>
          <w:numId w:val="1"/>
        </w:numPr>
        <w:rPr>
          <w:rFonts w:ascii="Georgia" w:hAnsi="Georgia"/>
          <w:sz w:val="22"/>
          <w:szCs w:val="22"/>
        </w:rPr>
      </w:pPr>
      <w:r>
        <w:rPr>
          <w:rStyle w:val="Strong"/>
          <w:rFonts w:ascii="Georgia" w:hAnsi="Georgia"/>
          <w:sz w:val="22"/>
          <w:szCs w:val="22"/>
        </w:rPr>
        <w:t xml:space="preserve">Report any influenza-related deaths </w:t>
      </w:r>
      <w:r>
        <w:rPr>
          <w:rFonts w:ascii="Georgia" w:hAnsi="Georgia"/>
          <w:sz w:val="22"/>
          <w:szCs w:val="22"/>
        </w:rPr>
        <w:t>within 3 days to our Communicable Disease office.</w:t>
      </w:r>
    </w:p>
    <w:p w:rsidR="002102F3" w:rsidRDefault="002102F3" w:rsidP="002102F3">
      <w:pPr>
        <w:pStyle w:val="NormalWeb"/>
        <w:rPr>
          <w:rFonts w:ascii="Georgia" w:hAnsi="Georgia"/>
          <w:sz w:val="22"/>
          <w:szCs w:val="22"/>
        </w:rPr>
      </w:pPr>
      <w:r>
        <w:rPr>
          <w:rFonts w:ascii="Georgia" w:hAnsi="Georgia"/>
          <w:sz w:val="22"/>
          <w:szCs w:val="22"/>
        </w:rPr>
        <w:t>For questions, please contact our Communicable Disease staff at 360-728-2235.</w:t>
      </w:r>
    </w:p>
    <w:p w:rsidR="002102F3" w:rsidRDefault="002102F3" w:rsidP="002102F3">
      <w:pPr>
        <w:pStyle w:val="NormalWeb"/>
        <w:rPr>
          <w:rFonts w:ascii="Calibri" w:hAnsi="Calibri"/>
          <w:sz w:val="28"/>
          <w:szCs w:val="28"/>
        </w:rPr>
      </w:pPr>
      <w:r>
        <w:rPr>
          <w:rFonts w:ascii="Calibri" w:hAnsi="Calibri"/>
          <w:b/>
          <w:bCs/>
          <w:sz w:val="28"/>
          <w:szCs w:val="28"/>
        </w:rPr>
        <w:t>Background</w:t>
      </w:r>
    </w:p>
    <w:p w:rsidR="002102F3" w:rsidRDefault="002102F3" w:rsidP="002102F3">
      <w:pPr>
        <w:pStyle w:val="NormalWeb"/>
        <w:rPr>
          <w:rFonts w:ascii="Georgia" w:hAnsi="Georgia"/>
          <w:sz w:val="22"/>
          <w:szCs w:val="22"/>
        </w:rPr>
      </w:pPr>
      <w:r>
        <w:rPr>
          <w:rFonts w:ascii="Georgia" w:hAnsi="Georgia"/>
          <w:sz w:val="22"/>
          <w:szCs w:val="22"/>
        </w:rPr>
        <w:t>It is still relatively early in the influenza season but we have already had three influenza-related deaths, five outbreaks at long-term care facilities reported, and a substantial climb in multiple markers of influenza activity within Kitsap County. Our weekly surveillance has shown a large upsurge in laboratory detections of influenza A over the past two weeks. Similarly, we are continuing to see increased visits for influenza-like illness. We expect to see further increases over the next several weeks.</w:t>
      </w:r>
    </w:p>
    <w:p w:rsidR="002102F3" w:rsidRDefault="002102F3" w:rsidP="002102F3">
      <w:pPr>
        <w:pStyle w:val="NormalWeb"/>
        <w:rPr>
          <w:rFonts w:ascii="Georgia" w:hAnsi="Georgia"/>
          <w:sz w:val="22"/>
          <w:szCs w:val="22"/>
        </w:rPr>
      </w:pPr>
      <w:r>
        <w:rPr>
          <w:rFonts w:ascii="Georgia" w:hAnsi="Georgia"/>
          <w:sz w:val="22"/>
          <w:szCs w:val="22"/>
        </w:rPr>
        <w:t>Vaccination is one of our main tools for trying to reduce the burden of influenza illness and death in our community. It is not too late to vaccinate your patients. This is an especially important prevention strategy for persons at high risk for complications. We urge you to counsel your patients about the benefits of influenza vaccine and encourage vaccination among all eligible persons.</w:t>
      </w:r>
    </w:p>
    <w:p w:rsidR="002102F3" w:rsidRDefault="002102F3" w:rsidP="002102F3">
      <w:pPr>
        <w:pStyle w:val="NormalWeb"/>
        <w:rPr>
          <w:rFonts w:ascii="Georgia" w:hAnsi="Georgia"/>
          <w:sz w:val="22"/>
          <w:szCs w:val="22"/>
        </w:rPr>
      </w:pPr>
      <w:r>
        <w:rPr>
          <w:rFonts w:ascii="Georgia" w:hAnsi="Georgia"/>
          <w:sz w:val="22"/>
          <w:szCs w:val="22"/>
        </w:rPr>
        <w:t xml:space="preserve">Remember that for the 2016-2017 season, the Centers for Disease Control and Prevention (CDC) has recommended using the flu shot (inactivated influenza vaccine or IIV) and the recombinant influenza vaccine (RIV). Due to poor vaccine efficacy, CDC and the Advisory Committee on </w:t>
      </w:r>
      <w:r>
        <w:rPr>
          <w:rFonts w:ascii="Georgia" w:hAnsi="Georgia"/>
          <w:sz w:val="22"/>
          <w:szCs w:val="22"/>
        </w:rPr>
        <w:lastRenderedPageBreak/>
        <w:t>Immunization Practices (ACIP) both advise that the nasal spray flu vaccine (live attenuated influenza vaccine or LAIV, “</w:t>
      </w:r>
      <w:proofErr w:type="spellStart"/>
      <w:r>
        <w:rPr>
          <w:rFonts w:ascii="Georgia" w:hAnsi="Georgia"/>
          <w:sz w:val="22"/>
          <w:szCs w:val="22"/>
        </w:rPr>
        <w:t>FluMist</w:t>
      </w:r>
      <w:proofErr w:type="spellEnd"/>
      <w:r>
        <w:rPr>
          <w:rFonts w:ascii="Georgia" w:hAnsi="Georgia"/>
          <w:sz w:val="22"/>
          <w:szCs w:val="22"/>
        </w:rPr>
        <w:t xml:space="preserve">”) should </w:t>
      </w:r>
      <w:r>
        <w:rPr>
          <w:rFonts w:ascii="Georgia" w:hAnsi="Georgia"/>
          <w:sz w:val="22"/>
          <w:szCs w:val="22"/>
          <w:u w:val="single"/>
        </w:rPr>
        <w:t>not</w:t>
      </w:r>
      <w:r>
        <w:rPr>
          <w:rFonts w:ascii="Georgia" w:hAnsi="Georgia"/>
          <w:sz w:val="22"/>
          <w:szCs w:val="22"/>
        </w:rPr>
        <w:t xml:space="preserve"> be used for anyone (adults or children) during 2016-2017.</w:t>
      </w:r>
    </w:p>
    <w:p w:rsidR="002102F3" w:rsidRDefault="002102F3" w:rsidP="002102F3">
      <w:pPr>
        <w:pStyle w:val="NormalWeb"/>
        <w:rPr>
          <w:rFonts w:ascii="Georgia" w:hAnsi="Georgia"/>
          <w:sz w:val="22"/>
          <w:szCs w:val="22"/>
        </w:rPr>
      </w:pPr>
      <w:r>
        <w:rPr>
          <w:rFonts w:ascii="Georgia" w:hAnsi="Georgia"/>
          <w:sz w:val="22"/>
          <w:szCs w:val="22"/>
        </w:rPr>
        <w:t>Patients who have influenza may benefit from antiviral medications. However, appropriate antivirals should be administered as early as possible (ideally within 48 hours of illness onset), if indicated. Do not delay treatment while waiting for laboratory confirmation in any patient with confirmed or suspected influenza who is (a) hospitalized; (b) has severe, complicated, or progressive illness; or (c) is at high risk for influenza complications.</w:t>
      </w:r>
    </w:p>
    <w:p w:rsidR="002102F3" w:rsidRDefault="002102F3" w:rsidP="002102F3">
      <w:pPr>
        <w:pStyle w:val="NormalWeb"/>
        <w:rPr>
          <w:rFonts w:ascii="Calibri" w:hAnsi="Calibri"/>
          <w:sz w:val="28"/>
          <w:szCs w:val="28"/>
        </w:rPr>
      </w:pPr>
      <w:r>
        <w:rPr>
          <w:rFonts w:ascii="Calibri" w:hAnsi="Calibri"/>
          <w:b/>
          <w:bCs/>
          <w:sz w:val="28"/>
          <w:szCs w:val="28"/>
        </w:rPr>
        <w:t>Resources</w:t>
      </w:r>
    </w:p>
    <w:p w:rsidR="002102F3" w:rsidRDefault="002102F3" w:rsidP="002102F3">
      <w:pPr>
        <w:numPr>
          <w:ilvl w:val="0"/>
          <w:numId w:val="2"/>
        </w:numPr>
        <w:spacing w:before="100" w:beforeAutospacing="1" w:after="100" w:afterAutospacing="1"/>
        <w:rPr>
          <w:rFonts w:ascii="Georgia" w:eastAsia="Times New Roman" w:hAnsi="Georgia"/>
          <w:sz w:val="22"/>
          <w:szCs w:val="22"/>
        </w:rPr>
      </w:pPr>
      <w:r>
        <w:rPr>
          <w:rFonts w:ascii="Georgia" w:eastAsia="Times New Roman" w:hAnsi="Georgia"/>
          <w:sz w:val="22"/>
          <w:szCs w:val="22"/>
        </w:rPr>
        <w:t xml:space="preserve">Kitsap Respiratory Illness Report: </w:t>
      </w:r>
      <w:hyperlink r:id="rId7" w:history="1">
        <w:r>
          <w:rPr>
            <w:rStyle w:val="Hyperlink"/>
            <w:rFonts w:ascii="Georgia" w:eastAsia="Times New Roman" w:hAnsi="Georgia"/>
            <w:sz w:val="22"/>
            <w:szCs w:val="22"/>
          </w:rPr>
          <w:t>www.kitsappublichealth.org/respiratory.pdf</w:t>
        </w:r>
      </w:hyperlink>
      <w:r>
        <w:rPr>
          <w:rFonts w:ascii="Georgia" w:eastAsia="Times New Roman" w:hAnsi="Georgia"/>
          <w:sz w:val="22"/>
          <w:szCs w:val="22"/>
        </w:rPr>
        <w:t> </w:t>
      </w:r>
    </w:p>
    <w:p w:rsidR="002102F3" w:rsidRDefault="002102F3" w:rsidP="002102F3">
      <w:pPr>
        <w:numPr>
          <w:ilvl w:val="0"/>
          <w:numId w:val="2"/>
        </w:numPr>
        <w:spacing w:before="100" w:beforeAutospacing="1" w:after="100" w:afterAutospacing="1"/>
        <w:rPr>
          <w:rFonts w:ascii="Georgia" w:eastAsia="Times New Roman" w:hAnsi="Georgia"/>
          <w:sz w:val="22"/>
          <w:szCs w:val="22"/>
        </w:rPr>
      </w:pPr>
      <w:r>
        <w:rPr>
          <w:rFonts w:ascii="Georgia" w:eastAsia="Times New Roman" w:hAnsi="Georgia"/>
          <w:sz w:val="22"/>
          <w:szCs w:val="22"/>
        </w:rPr>
        <w:t xml:space="preserve">Washington State Influenza Update: </w:t>
      </w:r>
      <w:hyperlink r:id="rId8" w:history="1">
        <w:r>
          <w:rPr>
            <w:rStyle w:val="Hyperlink"/>
            <w:rFonts w:ascii="Georgia" w:eastAsia="Times New Roman" w:hAnsi="Georgia"/>
            <w:sz w:val="22"/>
            <w:szCs w:val="22"/>
          </w:rPr>
          <w:t>www.doh.wa.gov/portals/1/documents/5100/420-100-fluupdate.pdf</w:t>
        </w:r>
      </w:hyperlink>
      <w:r>
        <w:rPr>
          <w:rFonts w:ascii="Georgia" w:eastAsia="Times New Roman" w:hAnsi="Georgia"/>
          <w:sz w:val="22"/>
          <w:szCs w:val="22"/>
        </w:rPr>
        <w:t> </w:t>
      </w:r>
    </w:p>
    <w:p w:rsidR="002102F3" w:rsidRDefault="002102F3" w:rsidP="002102F3">
      <w:pPr>
        <w:numPr>
          <w:ilvl w:val="0"/>
          <w:numId w:val="2"/>
        </w:numPr>
        <w:spacing w:before="100" w:beforeAutospacing="1" w:after="100" w:afterAutospacing="1"/>
        <w:rPr>
          <w:rFonts w:ascii="Georgia" w:eastAsia="Times New Roman" w:hAnsi="Georgia"/>
          <w:sz w:val="22"/>
          <w:szCs w:val="22"/>
        </w:rPr>
      </w:pPr>
      <w:r>
        <w:rPr>
          <w:rFonts w:ascii="Georgia" w:eastAsia="Times New Roman" w:hAnsi="Georgia"/>
          <w:sz w:val="22"/>
          <w:szCs w:val="22"/>
        </w:rPr>
        <w:t xml:space="preserve">Centers for Disease Control and Prevention’s Influenza page for healthcare providers: </w:t>
      </w:r>
      <w:hyperlink r:id="rId9" w:history="1">
        <w:r>
          <w:rPr>
            <w:rStyle w:val="Hyperlink"/>
            <w:rFonts w:ascii="Georgia" w:eastAsia="Times New Roman" w:hAnsi="Georgia"/>
            <w:sz w:val="22"/>
            <w:szCs w:val="22"/>
          </w:rPr>
          <w:t>www.cdc.gov/flu/professionals/vaccination/index.htm</w:t>
        </w:r>
      </w:hyperlink>
    </w:p>
    <w:p w:rsidR="002102F3" w:rsidRDefault="002102F3" w:rsidP="002102F3">
      <w:pPr>
        <w:pStyle w:val="NormalWeb"/>
        <w:spacing w:line="450" w:lineRule="atLeast"/>
        <w:rPr>
          <w:rFonts w:ascii="Calibri" w:hAnsi="Calibri"/>
          <w:sz w:val="20"/>
          <w:szCs w:val="20"/>
        </w:rPr>
      </w:pPr>
      <w:r>
        <w:rPr>
          <w:rFonts w:ascii="Calibri" w:hAnsi="Calibri"/>
          <w:sz w:val="20"/>
          <w:szCs w:val="20"/>
        </w:rPr>
        <w:t xml:space="preserve">(360) 337-5235 </w:t>
      </w:r>
      <w:hyperlink r:id="rId10" w:history="1">
        <w:r>
          <w:rPr>
            <w:rStyle w:val="Hyperlink"/>
            <w:rFonts w:ascii="Calibri" w:hAnsi="Calibri"/>
            <w:sz w:val="20"/>
            <w:szCs w:val="20"/>
          </w:rPr>
          <w:t>info@kitsappublichealth.org</w:t>
        </w:r>
      </w:hyperlink>
      <w:r>
        <w:rPr>
          <w:rFonts w:ascii="Calibri" w:hAnsi="Calibri"/>
          <w:sz w:val="20"/>
          <w:szCs w:val="20"/>
        </w:rPr>
        <w:t xml:space="preserve"> </w:t>
      </w:r>
      <w:hyperlink r:id="rId11" w:tgtFrame="_blank" w:history="1">
        <w:r>
          <w:rPr>
            <w:rStyle w:val="Hyperlink"/>
            <w:rFonts w:ascii="Calibri" w:hAnsi="Calibri"/>
            <w:color w:val="000000"/>
            <w:sz w:val="20"/>
            <w:szCs w:val="20"/>
            <w:u w:val="none"/>
          </w:rPr>
          <w:t>www.kitsappublichealth.org</w:t>
        </w:r>
      </w:hyperlink>
      <w:r>
        <w:rPr>
          <w:rFonts w:ascii="Calibri" w:hAnsi="Calibri"/>
          <w:sz w:val="20"/>
          <w:szCs w:val="20"/>
        </w:rPr>
        <w:t xml:space="preserve"> </w:t>
      </w:r>
    </w:p>
    <w:p w:rsidR="00926195" w:rsidRDefault="00926195">
      <w:bookmarkStart w:id="0" w:name="_GoBack"/>
      <w:bookmarkEnd w:id="0"/>
    </w:p>
    <w:sectPr w:rsidR="00926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341"/>
    <w:multiLevelType w:val="multilevel"/>
    <w:tmpl w:val="6F382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232C3"/>
    <w:multiLevelType w:val="multilevel"/>
    <w:tmpl w:val="5440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F3"/>
    <w:rsid w:val="002102F3"/>
    <w:rsid w:val="0092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8A4A7-0E26-4085-9C82-D39452FA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2F3"/>
    <w:rPr>
      <w:color w:val="0000FF"/>
      <w:u w:val="single"/>
    </w:rPr>
  </w:style>
  <w:style w:type="paragraph" w:styleId="NormalWeb">
    <w:name w:val="Normal (Web)"/>
    <w:basedOn w:val="Normal"/>
    <w:uiPriority w:val="99"/>
    <w:semiHidden/>
    <w:unhideWhenUsed/>
    <w:rsid w:val="002102F3"/>
    <w:pPr>
      <w:spacing w:before="100" w:beforeAutospacing="1" w:after="100" w:afterAutospacing="1"/>
    </w:pPr>
  </w:style>
  <w:style w:type="character" w:styleId="Strong">
    <w:name w:val="Strong"/>
    <w:basedOn w:val="DefaultParagraphFont"/>
    <w:uiPriority w:val="22"/>
    <w:qFormat/>
    <w:rsid w:val="002102F3"/>
    <w:rPr>
      <w:b/>
      <w:bCs/>
    </w:rPr>
  </w:style>
  <w:style w:type="character" w:styleId="Emphasis">
    <w:name w:val="Emphasis"/>
    <w:basedOn w:val="DefaultParagraphFont"/>
    <w:uiPriority w:val="20"/>
    <w:qFormat/>
    <w:rsid w:val="00210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wa.gov/portals/1/documents/5100/420-100-fluupda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tsappublichealth.org/respirator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669C.4A554800" TargetMode="External"/><Relationship Id="rId11" Type="http://schemas.openxmlformats.org/officeDocument/2006/relationships/hyperlink" Target="http://www.kitsappublichealth.org" TargetMode="External"/><Relationship Id="rId5" Type="http://schemas.openxmlformats.org/officeDocument/2006/relationships/image" Target="media/image1.jpeg"/><Relationship Id="rId10" Type="http://schemas.openxmlformats.org/officeDocument/2006/relationships/hyperlink" Target="mailto:info@kitsappublichealth.org" TargetMode="External"/><Relationship Id="rId4" Type="http://schemas.openxmlformats.org/officeDocument/2006/relationships/webSettings" Target="webSettings.xml"/><Relationship Id="rId9" Type="http://schemas.openxmlformats.org/officeDocument/2006/relationships/hyperlink" Target="http://www.cdc.gov/flu/professionals/vaccinati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Sequim School District</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ardisann</dc:creator>
  <cp:keywords/>
  <dc:description/>
  <cp:lastModifiedBy>ardisann</cp:lastModifiedBy>
  <cp:revision>1</cp:revision>
  <dcterms:created xsi:type="dcterms:W3CDTF">2017-01-05T16:02:00Z</dcterms:created>
  <dcterms:modified xsi:type="dcterms:W3CDTF">2017-01-05T16:13:00Z</dcterms:modified>
</cp:coreProperties>
</file>